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7" w:rsidRPr="00A11E17" w:rsidRDefault="00A11E17" w:rsidP="00A11E17">
      <w:pPr>
        <w:spacing w:after="0"/>
        <w:rPr>
          <w:rFonts w:ascii="Arial" w:hAnsi="Arial" w:cs="Arial"/>
          <w:sz w:val="22"/>
        </w:rPr>
      </w:pPr>
      <w:bookmarkStart w:id="0" w:name="_GoBack"/>
      <w:r w:rsidRPr="00A11E17">
        <w:rPr>
          <w:rFonts w:ascii="Arial" w:hAnsi="Arial" w:cs="Arial"/>
          <w:sz w:val="22"/>
        </w:rPr>
        <w:t>KİŞİSEL VERİLERİN KORUMASINA İLİŞKİN POLİTİKAMIZ</w:t>
      </w:r>
    </w:p>
    <w:p w:rsidR="00A11E17" w:rsidRPr="00A11E17" w:rsidRDefault="00A11E17" w:rsidP="00A11E17">
      <w:pPr>
        <w:spacing w:after="0"/>
        <w:rPr>
          <w:rFonts w:ascii="Arial" w:hAnsi="Arial" w:cs="Arial"/>
          <w:sz w:val="22"/>
        </w:rPr>
      </w:pP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>6698 sayılı Kişisel Verilerin Korunması Kanununun 6. maddesinin 4 numaralı fıkrasında, "Özel nitelikli kişisel verilerin işlenmesinde, ayrıca Kurul tarafından belirlenen yeterli önlemlerin alınması şarttır." hükmü yer almaktadır. Bu çerçevede</w:t>
      </w:r>
      <w:r w:rsidRPr="00A11E17">
        <w:rPr>
          <w:rFonts w:ascii="Arial" w:hAnsi="Arial" w:cs="Arial"/>
          <w:sz w:val="22"/>
        </w:rPr>
        <w:t xml:space="preserve">, </w:t>
      </w:r>
      <w:r w:rsidRPr="00A11E17">
        <w:rPr>
          <w:rFonts w:ascii="Arial" w:hAnsi="Arial" w:cs="Arial"/>
          <w:b w:val="0"/>
          <w:sz w:val="22"/>
        </w:rPr>
        <w:t xml:space="preserve">müşterilerimiz, çalışanlarımız ve ticari ilişkimizin olduğu tüm gerçek kişilere ait kişisel verilerin korunması ve bu kişisel verilerin güvenliğine yönelik sistemli, yönetilebilir ve sürdürülebilir bir politika üretmekteyiz. </w:t>
      </w: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Kanuni yükümlülüklerimizin bilinci ile kişi özgürlüğü ve özel hayatın gizliliğine duyduğumuz saygıyla; </w:t>
      </w: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b w:val="0"/>
          <w:sz w:val="22"/>
        </w:rPr>
      </w:pP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i/>
          <w:sz w:val="22"/>
        </w:rPr>
      </w:pPr>
      <w:r w:rsidRPr="00A11E17">
        <w:rPr>
          <w:rFonts w:ascii="Arial" w:hAnsi="Arial" w:cs="Arial"/>
          <w:i/>
          <w:sz w:val="22"/>
        </w:rPr>
        <w:t xml:space="preserve">Kişisel verilerin işlenmesi süreçlerinde yer alan çalışanlara yönelik; 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>Kanun ve buna bağlı yönetmelikler ile özel nitelikli kişisel veri güvenliği konularında düzenli olarak eğitimler verileceği,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>Gizlilik sözleşmelerinin yapılacağı,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>Verilere erişim yetkisine sahip kullanıcıların, yetki kapsamlarının ve sürelerinin net olarak tanımlanacağı,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>Periyodik olarak yetki kontrollerinin gerçekleştirileceği,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Görev değişikliği olan ya da işten ayrılan çalışanların bu alandaki yetkilerinin derhal kaldırılacağı ve bu kapsamda, veri sorumlusu tarafından kendisine tahsis edilen her türlü </w:t>
      </w:r>
      <w:proofErr w:type="gramStart"/>
      <w:r w:rsidRPr="00A11E17">
        <w:rPr>
          <w:rFonts w:ascii="Arial" w:hAnsi="Arial" w:cs="Arial"/>
          <w:b w:val="0"/>
          <w:sz w:val="22"/>
        </w:rPr>
        <w:t>envanterin</w:t>
      </w:r>
      <w:proofErr w:type="gramEnd"/>
      <w:r w:rsidRPr="00A11E17">
        <w:rPr>
          <w:rFonts w:ascii="Arial" w:hAnsi="Arial" w:cs="Arial"/>
          <w:b w:val="0"/>
          <w:sz w:val="22"/>
        </w:rPr>
        <w:t xml:space="preserve"> iade alınacağını, </w:t>
      </w: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Taahhüt etmekteyiz. </w:t>
      </w: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b w:val="0"/>
          <w:sz w:val="22"/>
        </w:rPr>
      </w:pP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i/>
          <w:sz w:val="22"/>
        </w:rPr>
      </w:pPr>
      <w:r w:rsidRPr="00A11E17">
        <w:rPr>
          <w:rFonts w:ascii="Arial" w:hAnsi="Arial" w:cs="Arial"/>
          <w:i/>
          <w:sz w:val="22"/>
        </w:rPr>
        <w:t xml:space="preserve">Kişisel verilerin işlendiği, muhafaza edildiği ve/veya erişildiği elektronik ortamlar için 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Verilerin </w:t>
      </w:r>
      <w:proofErr w:type="spellStart"/>
      <w:r w:rsidRPr="00A11E17">
        <w:rPr>
          <w:rFonts w:ascii="Arial" w:hAnsi="Arial" w:cs="Arial"/>
          <w:b w:val="0"/>
          <w:sz w:val="22"/>
        </w:rPr>
        <w:t>kriptografik</w:t>
      </w:r>
      <w:proofErr w:type="spellEnd"/>
      <w:r w:rsidRPr="00A11E17">
        <w:rPr>
          <w:rFonts w:ascii="Arial" w:hAnsi="Arial" w:cs="Arial"/>
          <w:b w:val="0"/>
          <w:sz w:val="22"/>
        </w:rPr>
        <w:t xml:space="preserve"> yöntemler kullanılarak muhafaza edilmesi,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proofErr w:type="spellStart"/>
      <w:r w:rsidRPr="00A11E17">
        <w:rPr>
          <w:rFonts w:ascii="Arial" w:hAnsi="Arial" w:cs="Arial"/>
          <w:b w:val="0"/>
          <w:sz w:val="22"/>
        </w:rPr>
        <w:t>Kriptografik</w:t>
      </w:r>
      <w:proofErr w:type="spellEnd"/>
      <w:r w:rsidRPr="00A11E17">
        <w:rPr>
          <w:rFonts w:ascii="Arial" w:hAnsi="Arial" w:cs="Arial"/>
          <w:b w:val="0"/>
          <w:sz w:val="22"/>
        </w:rPr>
        <w:t xml:space="preserve"> anahtarların güvenli ve farklı ortamlarda tutulması,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Veriler üzerinde gerçekleştirilen tüm hareketlerin işlem kayıtlarının güvenli olarak </w:t>
      </w:r>
      <w:proofErr w:type="spellStart"/>
      <w:r w:rsidRPr="00A11E17">
        <w:rPr>
          <w:rFonts w:ascii="Arial" w:hAnsi="Arial" w:cs="Arial"/>
          <w:b w:val="0"/>
          <w:sz w:val="22"/>
        </w:rPr>
        <w:t>loglanması</w:t>
      </w:r>
      <w:proofErr w:type="spellEnd"/>
      <w:r w:rsidRPr="00A11E17">
        <w:rPr>
          <w:rFonts w:ascii="Arial" w:hAnsi="Arial" w:cs="Arial"/>
          <w:b w:val="0"/>
          <w:sz w:val="22"/>
        </w:rPr>
        <w:t>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>Verilerin bulunduğu ortamlara ait güvenlik güncellemelerinin sürekli takip edilmesi, gerekli güvenlik testlerinin düzenli olarak yapılması/yaptırılması, test sonuçlarının kayıt altına alınması,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>Verilere bir yazılım aracılığı ile erişiliyorsa bu yazılıma ait kullanıcı yetkilendirmelerinin yapılması, bu yazılımların güvenlik testlerinin düzenli olarak yapılması/yaptırılması, test sonuçlarının kayıt altına alınması,</w:t>
      </w:r>
    </w:p>
    <w:p w:rsidR="00A11E17" w:rsidRPr="00A11E17" w:rsidRDefault="00A11E17" w:rsidP="00A11E1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Verilere uzaktan erişim gerekiyorsa en az iki kademeli kimlik doğrulama sisteminin sağlanması </w:t>
      </w: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Amacıyla gerekli önlemler firmamız tarafından alınacaktır. </w:t>
      </w: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b w:val="0"/>
          <w:sz w:val="22"/>
        </w:rPr>
      </w:pP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i/>
          <w:sz w:val="22"/>
        </w:rPr>
      </w:pPr>
      <w:r w:rsidRPr="00A11E17">
        <w:rPr>
          <w:rFonts w:ascii="Arial" w:hAnsi="Arial" w:cs="Arial"/>
          <w:i/>
          <w:sz w:val="22"/>
        </w:rPr>
        <w:t xml:space="preserve">Özel nitelikli kişisel verilerin işlendiği, muhafaza edildiği ve/veya erişildiği fiziksel ortamlarda; </w:t>
      </w:r>
    </w:p>
    <w:p w:rsidR="00A11E17" w:rsidRPr="00A11E17" w:rsidRDefault="00A11E17" w:rsidP="00A11E17">
      <w:pPr>
        <w:pStyle w:val="ListeParagraf"/>
        <w:numPr>
          <w:ilvl w:val="0"/>
          <w:numId w:val="2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Özel nitelikli kişisel verilerin bulunduğu ortamın niteliğine göre yeterli güvenlik önlemlerinin alındığından emin olunması ve bu ortamların fiziksel güvenliğinin sağlanarak yetkisiz giriş çıkışların engellenmesi firmamızın garantisi altındadır. </w:t>
      </w: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b w:val="0"/>
          <w:sz w:val="22"/>
        </w:rPr>
      </w:pPr>
    </w:p>
    <w:p w:rsidR="00A11E17" w:rsidRPr="00A11E17" w:rsidRDefault="00A11E17" w:rsidP="00A11E17">
      <w:pPr>
        <w:spacing w:after="0"/>
        <w:jc w:val="both"/>
        <w:rPr>
          <w:rFonts w:ascii="Arial" w:hAnsi="Arial" w:cs="Arial"/>
          <w:i/>
          <w:sz w:val="22"/>
        </w:rPr>
      </w:pPr>
      <w:r w:rsidRPr="00A11E17">
        <w:rPr>
          <w:rFonts w:ascii="Arial" w:hAnsi="Arial" w:cs="Arial"/>
          <w:i/>
          <w:sz w:val="22"/>
        </w:rPr>
        <w:t xml:space="preserve">Özel nitelikli kişisel veriler </w:t>
      </w:r>
      <w:proofErr w:type="spellStart"/>
      <w:r w:rsidRPr="00A11E17">
        <w:rPr>
          <w:rFonts w:ascii="Arial" w:hAnsi="Arial" w:cs="Arial"/>
          <w:i/>
          <w:sz w:val="22"/>
        </w:rPr>
        <w:t>fiziken</w:t>
      </w:r>
      <w:proofErr w:type="spellEnd"/>
      <w:r w:rsidRPr="00A11E17">
        <w:rPr>
          <w:rFonts w:ascii="Arial" w:hAnsi="Arial" w:cs="Arial"/>
          <w:i/>
          <w:sz w:val="22"/>
        </w:rPr>
        <w:t xml:space="preserve"> ya da elektronik ortamda aktarılacaksa</w:t>
      </w:r>
    </w:p>
    <w:p w:rsidR="00A11E17" w:rsidRPr="00A11E17" w:rsidRDefault="00A11E17" w:rsidP="00A11E17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>Verilerin e-posta yoluyla aktarılması gerekiyorsa şifreli olarak kurumsal e-posta adresiyle veya Kayıtlı Elektronik Posta (KEP) hesabı kullanılarak aktarılması,</w:t>
      </w:r>
    </w:p>
    <w:p w:rsidR="00A11E17" w:rsidRPr="00A11E17" w:rsidRDefault="00A11E17" w:rsidP="00A11E17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Taşınabilir Bellek, CD, DVD gibi ortamlar yoluyla aktarılması gerekiyorsa </w:t>
      </w:r>
      <w:proofErr w:type="spellStart"/>
      <w:r w:rsidRPr="00A11E17">
        <w:rPr>
          <w:rFonts w:ascii="Arial" w:hAnsi="Arial" w:cs="Arial"/>
          <w:b w:val="0"/>
          <w:sz w:val="22"/>
        </w:rPr>
        <w:t>kriptografik</w:t>
      </w:r>
      <w:proofErr w:type="spellEnd"/>
      <w:r w:rsidRPr="00A11E17">
        <w:rPr>
          <w:rFonts w:ascii="Arial" w:hAnsi="Arial" w:cs="Arial"/>
          <w:b w:val="0"/>
          <w:sz w:val="22"/>
        </w:rPr>
        <w:t xml:space="preserve"> yöntemlerle şifrelenmesi ve </w:t>
      </w:r>
      <w:proofErr w:type="spellStart"/>
      <w:r w:rsidRPr="00A11E17">
        <w:rPr>
          <w:rFonts w:ascii="Arial" w:hAnsi="Arial" w:cs="Arial"/>
          <w:b w:val="0"/>
          <w:sz w:val="22"/>
        </w:rPr>
        <w:t>kriptografik</w:t>
      </w:r>
      <w:proofErr w:type="spellEnd"/>
      <w:r w:rsidRPr="00A11E17">
        <w:rPr>
          <w:rFonts w:ascii="Arial" w:hAnsi="Arial" w:cs="Arial"/>
          <w:b w:val="0"/>
          <w:sz w:val="22"/>
        </w:rPr>
        <w:t xml:space="preserve"> anahtarın farklı ortamda tutulması,</w:t>
      </w:r>
    </w:p>
    <w:p w:rsidR="00A11E17" w:rsidRPr="00A11E17" w:rsidRDefault="00A11E17" w:rsidP="00A11E17">
      <w:pPr>
        <w:pStyle w:val="ListeParagraf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Farklı fiziksel ortamlardaki sunucular arasında aktarma gerçekleştiriliyorsa, sunucular arasında             VPN kurularak veya </w:t>
      </w:r>
      <w:proofErr w:type="spellStart"/>
      <w:r w:rsidRPr="00A11E17">
        <w:rPr>
          <w:rFonts w:ascii="Arial" w:hAnsi="Arial" w:cs="Arial"/>
          <w:b w:val="0"/>
          <w:sz w:val="22"/>
        </w:rPr>
        <w:t>sFTP</w:t>
      </w:r>
      <w:proofErr w:type="spellEnd"/>
      <w:r w:rsidRPr="00A11E17">
        <w:rPr>
          <w:rFonts w:ascii="Arial" w:hAnsi="Arial" w:cs="Arial"/>
          <w:b w:val="0"/>
          <w:sz w:val="22"/>
        </w:rPr>
        <w:t xml:space="preserve"> yöntemiyle veri aktarımının gerçekleştirilmesi,</w:t>
      </w:r>
    </w:p>
    <w:p w:rsidR="00A11E17" w:rsidRPr="00A11E17" w:rsidRDefault="00A11E17" w:rsidP="00A11E17">
      <w:pPr>
        <w:pStyle w:val="ListeParagraf"/>
        <w:numPr>
          <w:ilvl w:val="0"/>
          <w:numId w:val="3"/>
        </w:numPr>
        <w:spacing w:after="0"/>
        <w:ind w:left="360" w:firstLine="66"/>
        <w:jc w:val="both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t xml:space="preserve">Verilerin </w:t>
      </w:r>
      <w:proofErr w:type="gramStart"/>
      <w:r w:rsidRPr="00A11E17">
        <w:rPr>
          <w:rFonts w:ascii="Arial" w:hAnsi="Arial" w:cs="Arial"/>
          <w:b w:val="0"/>
          <w:sz w:val="22"/>
        </w:rPr>
        <w:t>kağıt</w:t>
      </w:r>
      <w:proofErr w:type="gramEnd"/>
      <w:r w:rsidRPr="00A11E17">
        <w:rPr>
          <w:rFonts w:ascii="Arial" w:hAnsi="Arial" w:cs="Arial"/>
          <w:b w:val="0"/>
          <w:sz w:val="22"/>
        </w:rPr>
        <w:t xml:space="preserve"> ortamı yoluyla aktarımı gerekiyorsa evrakın çalınması, kaybolması ya da yetkisiz kişiler tarafından görülmesi gibi risklere karşı gerekli önlemlerin alınması ve evrakın "gizlilik dereceli belgeler” formatında gönderilmesi firmamızın garantisi altındadır. </w:t>
      </w:r>
    </w:p>
    <w:p w:rsidR="00A11E17" w:rsidRPr="00A11E17" w:rsidRDefault="00A11E17" w:rsidP="00A11E17">
      <w:pPr>
        <w:spacing w:after="0"/>
        <w:jc w:val="right"/>
        <w:rPr>
          <w:rFonts w:ascii="Arial" w:hAnsi="Arial" w:cs="Arial"/>
          <w:b w:val="0"/>
          <w:sz w:val="22"/>
        </w:rPr>
      </w:pPr>
      <w:r w:rsidRPr="00A11E17">
        <w:rPr>
          <w:rFonts w:ascii="Arial" w:hAnsi="Arial" w:cs="Arial"/>
          <w:b w:val="0"/>
          <w:sz w:val="22"/>
        </w:rPr>
        <w:lastRenderedPageBreak/>
        <w:t xml:space="preserve">Saygılarımızla duyurulur. </w:t>
      </w:r>
    </w:p>
    <w:bookmarkEnd w:id="0"/>
    <w:p w:rsidR="001F3F1A" w:rsidRDefault="001F3F1A"/>
    <w:sectPr w:rsidR="001F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C96"/>
    <w:multiLevelType w:val="hybridMultilevel"/>
    <w:tmpl w:val="9B92CE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5A30"/>
    <w:multiLevelType w:val="hybridMultilevel"/>
    <w:tmpl w:val="535A3A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11D8"/>
    <w:multiLevelType w:val="hybridMultilevel"/>
    <w:tmpl w:val="6700ED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17"/>
    <w:rsid w:val="001F3F1A"/>
    <w:rsid w:val="00A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17"/>
    <w:pPr>
      <w:spacing w:after="160" w:line="240" w:lineRule="auto"/>
      <w:jc w:val="center"/>
    </w:pPr>
    <w:rPr>
      <w:rFonts w:ascii="Times New Roman" w:hAnsi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17"/>
    <w:pPr>
      <w:spacing w:after="160" w:line="240" w:lineRule="auto"/>
      <w:jc w:val="center"/>
    </w:pPr>
    <w:rPr>
      <w:rFonts w:ascii="Times New Roman" w:hAnsi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2021-02-01T07:57:00Z</dcterms:created>
  <dcterms:modified xsi:type="dcterms:W3CDTF">2021-02-01T07:58:00Z</dcterms:modified>
</cp:coreProperties>
</file>